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Macomb Area of Narcotics Anonymous__________________________________________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Meeting opened with the Serenity Prayer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Service Prayer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12 Traditions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12 Concepts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Definition &amp; Purpose of the ASC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Administration Report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Introduction of new GSRs _________ Show of Hands _________ Quorum 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Secretaries Report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GSR roll call and Reports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7th tradition &amp; break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Treasurer's report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Beginning balance ______ Group Donations ________ 7th Tradition_______ Total__________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RCM report: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Policy report: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MSO report: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Web Servant: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Activities report: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Helpline report: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H&amp;I report: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Blue Book Report: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Literature report: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Newsletter report: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Outreach report: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Public Relation Report: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Convention report: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Ad hoc report: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Treasures Balance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Total before expenses _____ Total expenses_______ Total after expenses____________ Regional donation________ Ending Balance 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Open Floor/clean time recognition: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Announcements/Close: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Meeting: Sunday, ___________. Administration 10:00 AM, Policy 9:30 AM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